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                 </w:t>
      </w:r>
    </w:p>
    <w:p>
      <w:pPr>
        <w:pStyle w:val="Обычный"/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tl w:val="0"/>
        </w:rPr>
        <w:drawing>
          <wp:inline distT="0" distB="0" distL="0" distR="0">
            <wp:extent cx="610032" cy="790499"/>
            <wp:effectExtent l="0" t="0" r="0" b="0"/>
            <wp:docPr id="1073741825" name="officeArt object" descr="Описание: Герб_МР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g" descr="Описание: Герб_МР1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32" cy="7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28"/>
          <w:szCs w:val="28"/>
        </w:rPr>
      </w:pPr>
      <w:r>
        <w:rPr>
          <w:rFonts w:ascii="Arial Unicode MS" w:cs="Arial Unicode MS" w:hAnsi="Times New Roman Bold" w:eastAsia="Arial Unicode MS" w:hint="default"/>
          <w:sz w:val="28"/>
          <w:szCs w:val="28"/>
          <w:rtl w:val="0"/>
          <w:lang w:val="ru-RU"/>
        </w:rPr>
        <w:t>С О Б Р А Н И Е           Д Е П У Т А Т О В</w:t>
      </w:r>
    </w:p>
    <w:p>
      <w:pPr>
        <w:pStyle w:val="Заголовок 2"/>
        <w:jc w:val="center"/>
      </w:pPr>
      <w:r>
        <w:rPr>
          <w:rtl w:val="0"/>
          <w:lang w:val="ru-RU"/>
        </w:rPr>
        <w:t>М А К С А Т И Х И Н С К О Г О       Р А Й О Н А</w:t>
      </w:r>
    </w:p>
    <w:p>
      <w:pPr>
        <w:pStyle w:val="Обычный"/>
        <w:jc w:val="center"/>
      </w:pP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125729</wp:posOffset>
                </wp:positionV>
                <wp:extent cx="3429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18.0pt;margin-top:9.9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FFFFFF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Обычный"/>
        <w:spacing w:line="360" w:lineRule="auto"/>
        <w:jc w:val="center"/>
      </w:pPr>
      <w:r>
        <w:rPr>
          <w:rFonts w:hAnsi="Times New Roman" w:hint="default"/>
          <w:rtl w:val="0"/>
          <w:lang w:val="ru-RU"/>
        </w:rPr>
        <w:t>РЕШЕНИЕ</w:t>
      </w:r>
    </w:p>
    <w:p>
      <w:pPr>
        <w:pStyle w:val="Обычный"/>
        <w:spacing w:line="360" w:lineRule="auto"/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31 </w:t>
      </w:r>
      <w:r>
        <w:rPr>
          <w:rFonts w:hAnsi="Times New Roman" w:hint="default"/>
          <w:rtl w:val="0"/>
          <w:lang w:val="ru-RU"/>
        </w:rPr>
        <w:t xml:space="preserve">марта  </w:t>
      </w:r>
      <w:r>
        <w:rPr>
          <w:rtl w:val="0"/>
          <w:lang w:val="ru-RU"/>
        </w:rPr>
        <w:t xml:space="preserve">2014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 xml:space="preserve">.                                                                                           </w:t>
      </w:r>
      <w:r>
        <w:rPr>
          <w:rFonts w:hAnsi="Times New Roman" w:hint="default"/>
          <w:rtl w:val="0"/>
          <w:lang w:val="ru-RU"/>
        </w:rPr>
        <w:t>№</w:t>
      </w:r>
      <w:r>
        <w:rPr>
          <w:rtl w:val="0"/>
          <w:lang w:val="ru-RU"/>
        </w:rPr>
        <w:t>57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 внесении изменений в Решение Собрания депутатов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Максатихинского района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09.12.2013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>34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«О внесении изменений в Решение Собрания депутатов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Максатихинского района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26.11.2013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>26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«О внесении изменений в  Решение Собрания депутатов 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Максатихинского района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19.12.2012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>333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«Об установлении значений  коэффициента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социально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экономических особенностей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в отношении земельных участков</w:t>
      </w:r>
      <w:r>
        <w:rPr>
          <w:rFonts w:ascii="Times New Roman" w:cs="Arial Unicode MS" w:hAnsi="Arial Unicode MS" w:eastAsia="Arial Unicode MS"/>
          <w:rtl w:val="0"/>
          <w:lang w:val="ru-RU"/>
        </w:rPr>
        <w:t>,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государственная собственность на которые не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разграничена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расположенных на территории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Максатихинского района и пгт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Максатиха на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год»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firstLine="709"/>
        <w:jc w:val="both"/>
      </w:pPr>
      <w:r>
        <w:rPr>
          <w:rFonts w:hAnsi="Times New Roman" w:hint="default"/>
          <w:rtl w:val="0"/>
          <w:lang w:val="ru-RU"/>
        </w:rPr>
        <w:t>В соответствии с рекомендациями Администрации Тверской области и передачей полномочий по утверждению значений коэффициентов социально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экономических особенностей с </w:t>
      </w:r>
      <w:r>
        <w:rPr>
          <w:rtl w:val="0"/>
          <w:lang w:val="ru-RU"/>
        </w:rPr>
        <w:t>01.01.2012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органам местного самоуправления муниципальных районов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целях актуализации его значений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Собрание депутатов Максатихинского района решило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>1.</w:t>
      </w:r>
      <w:r>
        <w:rPr>
          <w:rFonts w:hAnsi="Times New Roman" w:hint="default"/>
          <w:rtl w:val="0"/>
          <w:lang w:val="ru-RU"/>
        </w:rPr>
        <w:t xml:space="preserve"> В </w:t>
      </w:r>
      <w:r>
        <w:rPr>
          <w:rFonts w:hAnsi="Times New Roman" w:hint="default"/>
          <w:u w:val="single"/>
          <w:rtl w:val="0"/>
          <w:lang w:val="ru-RU"/>
        </w:rPr>
        <w:t xml:space="preserve">Разделе </w:t>
      </w:r>
      <w:r>
        <w:rPr>
          <w:u w:val="single"/>
          <w:rtl w:val="0"/>
          <w:lang w:val="ru-RU"/>
        </w:rPr>
        <w:t xml:space="preserve">2. </w:t>
      </w:r>
      <w:r>
        <w:rPr>
          <w:rFonts w:hAnsi="Times New Roman" w:hint="default"/>
          <w:u w:val="single"/>
          <w:rtl w:val="0"/>
          <w:lang w:val="ru-RU"/>
        </w:rPr>
        <w:t>«Земли промышленности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энергетики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транспорта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связи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радиовещания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телевидения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информатики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земли для обеспечения космической деятельности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земли обороны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безопасности и земли иного специального назначения»</w:t>
      </w:r>
      <w:r>
        <w:rPr>
          <w:u w:val="single"/>
          <w:rtl w:val="0"/>
          <w:lang w:val="ru-RU"/>
        </w:rPr>
        <w:t>.</w:t>
      </w:r>
    </w:p>
    <w:p>
      <w:pPr>
        <w:pStyle w:val="Обычный"/>
        <w:ind w:firstLine="720"/>
        <w:jc w:val="both"/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23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 размещения сетей централизованных инженерных систем и объектов инженерной инфраструктуры жилищно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коммунального комплекса» установить коэффициент СЭО в значении «</w:t>
      </w:r>
      <w:r>
        <w:rPr>
          <w:rtl w:val="0"/>
          <w:lang w:val="ru-RU"/>
        </w:rPr>
        <w:t>48,5</w:t>
      </w:r>
      <w:r>
        <w:rPr>
          <w:rFonts w:hAnsi="Times New Roman" w:hint="default"/>
          <w:rtl w:val="0"/>
          <w:lang w:val="ru-RU"/>
        </w:rPr>
        <w:t>» и изложить в следующей редакции</w:t>
      </w:r>
      <w:r>
        <w:rPr>
          <w:rtl w:val="0"/>
          <w:lang w:val="ru-RU"/>
        </w:rPr>
        <w:t>: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2.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промышленности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энергетики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транспорта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связи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радиовещания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телевидения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информатики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для обеспечения космической деятельности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обороны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безопасности и земли иного специального назначения</w:t>
      </w:r>
    </w:p>
    <w:tbl>
      <w:tblPr>
        <w:tblW w:w="928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250"/>
        <w:gridCol w:w="1440"/>
      </w:tblGrid>
      <w:tr>
        <w:tblPrEx>
          <w:shd w:val="clear" w:color="auto" w:fill="auto"/>
        </w:tblPrEx>
        <w:trPr>
          <w:trHeight w:val="579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7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 размещения сетей централизованных инженерных систем и объектов инженерной инфраструктуры жилищно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коммунального комплекса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48,5</w:t>
            </w:r>
          </w:p>
        </w:tc>
      </w:tr>
    </w:tbl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Обычный"/>
        <w:jc w:val="both"/>
      </w:pP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 Предоставить отсрочку платежа по договорам аренды земельных участков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государственная собственность на которые не разграничена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Максатихинского района и пгт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Максатиха Тверской области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 платежам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предусмотренным договорами по сроку не позднее </w:t>
      </w:r>
      <w:r>
        <w:rPr>
          <w:rtl w:val="0"/>
          <w:lang w:val="ru-RU"/>
        </w:rPr>
        <w:t xml:space="preserve">15.04.1014 </w:t>
      </w:r>
      <w:r>
        <w:rPr>
          <w:rFonts w:hAnsi="Times New Roman" w:hint="default"/>
          <w:rtl w:val="0"/>
          <w:lang w:val="ru-RU"/>
        </w:rPr>
        <w:t xml:space="preserve">года в размере ¼  годовой суммы арендной платы не позднее </w:t>
      </w:r>
      <w:r>
        <w:rPr>
          <w:rtl w:val="0"/>
          <w:lang w:val="ru-RU"/>
        </w:rPr>
        <w:t xml:space="preserve">15.07.2014 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Исполнение платежа по сроку не позднее </w:t>
      </w:r>
      <w:r>
        <w:rPr>
          <w:rtl w:val="0"/>
          <w:lang w:val="ru-RU"/>
        </w:rPr>
        <w:t xml:space="preserve">15.07.2014 </w:t>
      </w:r>
      <w:r>
        <w:rPr>
          <w:rFonts w:hAnsi="Times New Roman" w:hint="default"/>
          <w:rtl w:val="0"/>
          <w:lang w:val="ru-RU"/>
        </w:rPr>
        <w:t>года – не меняется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 xml:space="preserve"> Распространить действие настоящего решения с </w:t>
      </w:r>
      <w:r>
        <w:rPr>
          <w:rtl w:val="0"/>
          <w:lang w:val="ru-RU"/>
        </w:rPr>
        <w:t xml:space="preserve">01.01.2014 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>4.</w:t>
      </w:r>
      <w:r>
        <w:rPr>
          <w:rFonts w:hAnsi="Times New Roman" w:hint="default"/>
          <w:rtl w:val="0"/>
          <w:lang w:val="ru-RU"/>
        </w:rPr>
        <w:t>  Настоящее решение подлежит опубликованию в районной газете «Вести Максатихи» и размещению на официальном сайте администрации Максатихинского района в сети Интернет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</w:p>
    <w:p>
      <w:pPr>
        <w:pStyle w:val="Обычный"/>
        <w:widowControl w:val="0"/>
        <w:ind w:firstLine="709"/>
        <w:jc w:val="both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Глава Максатихинского района                                                           Н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Ильин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0" w:bottom="1134" w:left="1701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Times New Roman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 Unicode MS" w:cs="Arial Unicode MS" w:hAnsi="Times New Roman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Relationship Id="rId8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